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4C6E" w:rsidRDefault="00614C6E">
      <w:pPr>
        <w:widowControl w:val="0"/>
        <w:spacing w:line="276" w:lineRule="auto"/>
      </w:pPr>
      <w:bookmarkStart w:id="0" w:name="_GoBack"/>
      <w:bookmarkEnd w:id="0"/>
    </w:p>
    <w:tbl>
      <w:tblPr>
        <w:tblStyle w:val="a"/>
        <w:tblW w:w="37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986"/>
      </w:tblGrid>
      <w:tr w:rsidR="00614C6E">
        <w:trPr>
          <w:trHeight w:val="320"/>
        </w:trPr>
        <w:tc>
          <w:tcPr>
            <w:tcW w:w="743" w:type="dxa"/>
            <w:tcBorders>
              <w:top w:val="nil"/>
              <w:left w:val="nil"/>
              <w:bottom w:val="nil"/>
              <w:right w:val="single" w:sz="4" w:space="0" w:color="000000"/>
            </w:tcBorders>
          </w:tcPr>
          <w:p w:rsidR="00614C6E" w:rsidRDefault="00D902AA">
            <w:pPr>
              <w:tabs>
                <w:tab w:val="left" w:pos="5099"/>
              </w:tabs>
            </w:pPr>
            <w:r>
              <w:rPr>
                <w:rFonts w:ascii="Calibri" w:eastAsia="Calibri" w:hAnsi="Calibri" w:cs="Calibri"/>
                <w:sz w:val="22"/>
                <w:szCs w:val="22"/>
              </w:rPr>
              <w:t>Date:</w:t>
            </w:r>
          </w:p>
        </w:tc>
        <w:tc>
          <w:tcPr>
            <w:tcW w:w="2986" w:type="dxa"/>
            <w:tcBorders>
              <w:left w:val="single" w:sz="4" w:space="0" w:color="000000"/>
            </w:tcBorders>
          </w:tcPr>
          <w:p w:rsidR="00614C6E" w:rsidRDefault="00614C6E">
            <w:pPr>
              <w:tabs>
                <w:tab w:val="left" w:pos="5099"/>
              </w:tabs>
            </w:pPr>
          </w:p>
        </w:tc>
      </w:tr>
    </w:tbl>
    <w:p w:rsidR="00614C6E" w:rsidRDefault="00D902AA">
      <w:r>
        <w:rPr>
          <w:rFonts w:ascii="Calibri" w:eastAsia="Calibri" w:hAnsi="Calibri" w:cs="Calibri"/>
          <w:b/>
          <w:sz w:val="32"/>
          <w:szCs w:val="32"/>
        </w:rPr>
        <w:t>Quantitative Literacy Ability (Q) Course Proposal Form</w:t>
      </w:r>
    </w:p>
    <w:p w:rsidR="00614C6E" w:rsidRDefault="00D902AA">
      <w:r>
        <w:rPr>
          <w:rFonts w:ascii="Calibri" w:eastAsia="Calibri" w:hAnsi="Calibri" w:cs="Calibri"/>
        </w:rPr>
        <w:t>Undergraduate Curriculum Committee</w:t>
      </w:r>
    </w:p>
    <w:p w:rsidR="00614C6E" w:rsidRDefault="00614C6E"/>
    <w:tbl>
      <w:tblPr>
        <w:tblStyle w:val="a0"/>
        <w:tblW w:w="947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7431"/>
      </w:tblGrid>
      <w:tr w:rsidR="00614C6E">
        <w:trPr>
          <w:trHeight w:val="300"/>
        </w:trPr>
        <w:tc>
          <w:tcPr>
            <w:tcW w:w="2043" w:type="dxa"/>
            <w:tcBorders>
              <w:top w:val="nil"/>
              <w:left w:val="nil"/>
              <w:bottom w:val="nil"/>
              <w:right w:val="single" w:sz="4" w:space="0" w:color="000000"/>
            </w:tcBorders>
          </w:tcPr>
          <w:p w:rsidR="00614C6E" w:rsidRDefault="00D902AA">
            <w:r>
              <w:rPr>
                <w:rFonts w:ascii="Calibri" w:eastAsia="Calibri" w:hAnsi="Calibri" w:cs="Calibri"/>
                <w:sz w:val="22"/>
                <w:szCs w:val="22"/>
              </w:rPr>
              <w:t>Department Chair:</w:t>
            </w:r>
          </w:p>
        </w:tc>
        <w:tc>
          <w:tcPr>
            <w:tcW w:w="7431" w:type="dxa"/>
            <w:tcBorders>
              <w:left w:val="single" w:sz="4" w:space="0" w:color="000000"/>
            </w:tcBorders>
          </w:tcPr>
          <w:p w:rsidR="00614C6E" w:rsidRDefault="00614C6E"/>
        </w:tc>
      </w:tr>
      <w:tr w:rsidR="00614C6E">
        <w:trPr>
          <w:trHeight w:val="300"/>
        </w:trPr>
        <w:tc>
          <w:tcPr>
            <w:tcW w:w="2043" w:type="dxa"/>
            <w:tcBorders>
              <w:top w:val="nil"/>
              <w:left w:val="nil"/>
              <w:bottom w:val="nil"/>
              <w:right w:val="single" w:sz="4" w:space="0" w:color="000000"/>
            </w:tcBorders>
          </w:tcPr>
          <w:p w:rsidR="00614C6E" w:rsidRDefault="00D902AA">
            <w:r>
              <w:rPr>
                <w:rFonts w:ascii="Calibri" w:eastAsia="Calibri" w:hAnsi="Calibri" w:cs="Calibri"/>
                <w:sz w:val="22"/>
                <w:szCs w:val="22"/>
              </w:rPr>
              <w:t>Email address:</w:t>
            </w:r>
          </w:p>
        </w:tc>
        <w:tc>
          <w:tcPr>
            <w:tcW w:w="7431" w:type="dxa"/>
            <w:tcBorders>
              <w:left w:val="single" w:sz="4" w:space="0" w:color="000000"/>
            </w:tcBorders>
          </w:tcPr>
          <w:p w:rsidR="00614C6E" w:rsidRDefault="00614C6E"/>
        </w:tc>
      </w:tr>
      <w:tr w:rsidR="00614C6E">
        <w:trPr>
          <w:trHeight w:val="300"/>
        </w:trPr>
        <w:tc>
          <w:tcPr>
            <w:tcW w:w="2043" w:type="dxa"/>
            <w:tcBorders>
              <w:top w:val="nil"/>
              <w:left w:val="nil"/>
              <w:bottom w:val="nil"/>
              <w:right w:val="single" w:sz="4" w:space="0" w:color="000000"/>
            </w:tcBorders>
          </w:tcPr>
          <w:p w:rsidR="00614C6E" w:rsidRDefault="00D902AA">
            <w:r>
              <w:rPr>
                <w:rFonts w:ascii="Calibri" w:eastAsia="Calibri" w:hAnsi="Calibri" w:cs="Calibri"/>
                <w:sz w:val="22"/>
                <w:szCs w:val="22"/>
              </w:rPr>
              <w:t>Phone number:</w:t>
            </w:r>
          </w:p>
        </w:tc>
        <w:tc>
          <w:tcPr>
            <w:tcW w:w="7431" w:type="dxa"/>
            <w:tcBorders>
              <w:left w:val="single" w:sz="4" w:space="0" w:color="000000"/>
            </w:tcBorders>
          </w:tcPr>
          <w:p w:rsidR="00614C6E" w:rsidRDefault="00614C6E"/>
        </w:tc>
      </w:tr>
      <w:tr w:rsidR="00614C6E">
        <w:trPr>
          <w:trHeight w:val="300"/>
        </w:trPr>
        <w:tc>
          <w:tcPr>
            <w:tcW w:w="2043" w:type="dxa"/>
            <w:tcBorders>
              <w:top w:val="nil"/>
              <w:left w:val="nil"/>
              <w:bottom w:val="nil"/>
              <w:right w:val="single" w:sz="4" w:space="0" w:color="000000"/>
            </w:tcBorders>
          </w:tcPr>
          <w:p w:rsidR="00614C6E" w:rsidRDefault="00D902AA">
            <w:r>
              <w:rPr>
                <w:rFonts w:ascii="Calibri" w:eastAsia="Calibri" w:hAnsi="Calibri" w:cs="Calibri"/>
                <w:sz w:val="22"/>
                <w:szCs w:val="22"/>
              </w:rPr>
              <w:t>Prefix, course #, course title:</w:t>
            </w:r>
          </w:p>
        </w:tc>
        <w:tc>
          <w:tcPr>
            <w:tcW w:w="7431" w:type="dxa"/>
            <w:tcBorders>
              <w:left w:val="single" w:sz="4" w:space="0" w:color="000000"/>
            </w:tcBorders>
          </w:tcPr>
          <w:p w:rsidR="00614C6E" w:rsidRDefault="00614C6E"/>
        </w:tc>
      </w:tr>
    </w:tbl>
    <w:p w:rsidR="00614C6E" w:rsidRDefault="00614C6E"/>
    <w:p w:rsidR="00614C6E" w:rsidRDefault="00D902AA">
      <w:r>
        <w:rPr>
          <w:rFonts w:ascii="Calibri" w:eastAsia="Calibri" w:hAnsi="Calibri" w:cs="Calibri"/>
          <w:b/>
          <w:sz w:val="22"/>
          <w:szCs w:val="22"/>
        </w:rPr>
        <w:t>A.</w:t>
      </w:r>
      <w:r>
        <w:rPr>
          <w:rFonts w:ascii="Calibri" w:eastAsia="Calibri" w:hAnsi="Calibri" w:cs="Calibri"/>
          <w:sz w:val="22"/>
          <w:szCs w:val="22"/>
        </w:rPr>
        <w:t xml:space="preserve">  All Q Ability designated courses must </w:t>
      </w:r>
      <w:r>
        <w:rPr>
          <w:rFonts w:ascii="Calibri" w:eastAsia="Calibri" w:hAnsi="Calibri" w:cs="Calibri"/>
          <w:sz w:val="22"/>
          <w:szCs w:val="22"/>
          <w:u w:val="single"/>
        </w:rPr>
        <w:t>one or more</w:t>
      </w:r>
      <w:r>
        <w:rPr>
          <w:rFonts w:ascii="Calibri" w:eastAsia="Calibri" w:hAnsi="Calibri" w:cs="Calibri"/>
          <w:sz w:val="22"/>
          <w:szCs w:val="22"/>
        </w:rPr>
        <w:t xml:space="preserve"> of the following learning outcomes.  (See General Education Requirements of current Undergraduate University Catalog):</w:t>
      </w:r>
    </w:p>
    <w:p w:rsidR="00614C6E" w:rsidRDefault="00D902AA">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 xml:space="preserve">Students will be able to construct arguments that involve mathematical and statistical ideas. </w:t>
      </w:r>
    </w:p>
    <w:p w:rsidR="00614C6E" w:rsidRDefault="00D902AA">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 xml:space="preserve">Students will be able to critique the content and validity of mathematical arguments. </w:t>
      </w:r>
    </w:p>
    <w:p w:rsidR="00614C6E" w:rsidRDefault="00614C6E"/>
    <w:p w:rsidR="00614C6E" w:rsidRDefault="00D902AA">
      <w:r>
        <w:rPr>
          <w:rFonts w:ascii="Calibri" w:eastAsia="Calibri" w:hAnsi="Calibri" w:cs="Calibri"/>
          <w:sz w:val="22"/>
          <w:szCs w:val="22"/>
        </w:rPr>
        <w:t xml:space="preserve">Please underline which of the above outcomes this course will meet and explain </w:t>
      </w:r>
      <w:r>
        <w:rPr>
          <w:rFonts w:ascii="Calibri" w:eastAsia="Calibri" w:hAnsi="Calibri" w:cs="Calibri"/>
          <w:b/>
          <w:sz w:val="22"/>
          <w:szCs w:val="22"/>
        </w:rPr>
        <w:t>how</w:t>
      </w:r>
      <w:r>
        <w:rPr>
          <w:rFonts w:ascii="Calibri" w:eastAsia="Calibri" w:hAnsi="Calibri" w:cs="Calibri"/>
          <w:sz w:val="22"/>
          <w:szCs w:val="22"/>
        </w:rPr>
        <w:t xml:space="preserve"> it will it do so.</w:t>
      </w:r>
    </w:p>
    <w:p w:rsidR="00614C6E" w:rsidRDefault="00D902AA">
      <w:r>
        <w:rPr>
          <w:rFonts w:ascii="Calibri" w:eastAsia="Calibri" w:hAnsi="Calibri" w:cs="Calibri"/>
          <w:sz w:val="22"/>
          <w:szCs w:val="22"/>
        </w:rPr>
        <w:t>See Appendix #1 for examples.</w:t>
      </w:r>
    </w:p>
    <w:p w:rsidR="00614C6E" w:rsidRDefault="00D902AA">
      <w:r>
        <w:rPr>
          <w:rFonts w:ascii="Calibri" w:eastAsia="Calibri" w:hAnsi="Calibri" w:cs="Calibri"/>
          <w:sz w:val="22"/>
          <w:szCs w:val="22"/>
        </w:rPr>
        <w:t xml:space="preserve">      </w:t>
      </w:r>
    </w:p>
    <w:p w:rsidR="00614C6E" w:rsidRDefault="00614C6E"/>
    <w:p w:rsidR="00614C6E" w:rsidRDefault="00D902AA">
      <w:r>
        <w:rPr>
          <w:rFonts w:ascii="Calibri" w:eastAsia="Calibri" w:hAnsi="Calibri" w:cs="Calibri"/>
          <w:b/>
          <w:color w:val="FF0000"/>
        </w:rPr>
        <w:t xml:space="preserve">    </w:t>
      </w:r>
    </w:p>
    <w:tbl>
      <w:tblPr>
        <w:tblStyle w:val="a1"/>
        <w:tblW w:w="936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3060"/>
      </w:tblGrid>
      <w:tr w:rsidR="00614C6E">
        <w:tc>
          <w:tcPr>
            <w:tcW w:w="6300" w:type="dxa"/>
            <w:tcBorders>
              <w:top w:val="nil"/>
              <w:left w:val="nil"/>
              <w:bottom w:val="nil"/>
              <w:right w:val="single" w:sz="4" w:space="0" w:color="000000"/>
            </w:tcBorders>
          </w:tcPr>
          <w:p w:rsidR="00614C6E" w:rsidRDefault="00D902AA">
            <w:pPr>
              <w:ind w:left="90"/>
            </w:pPr>
            <w:r>
              <w:rPr>
                <w:rFonts w:ascii="Calibri" w:eastAsia="Calibri" w:hAnsi="Calibri" w:cs="Calibri"/>
                <w:b/>
                <w:sz w:val="22"/>
                <w:szCs w:val="22"/>
              </w:rPr>
              <w:t>B.</w:t>
            </w:r>
            <w:r>
              <w:rPr>
                <w:rFonts w:ascii="Calibri" w:eastAsia="Calibri" w:hAnsi="Calibri" w:cs="Calibri"/>
                <w:sz w:val="22"/>
                <w:szCs w:val="22"/>
              </w:rPr>
              <w:t xml:space="preserve"> What is the desired implementation date? (e.g. “Fall 20XX”)</w:t>
            </w:r>
          </w:p>
        </w:tc>
        <w:tc>
          <w:tcPr>
            <w:tcW w:w="3060" w:type="dxa"/>
            <w:tcBorders>
              <w:left w:val="single" w:sz="4" w:space="0" w:color="000000"/>
            </w:tcBorders>
          </w:tcPr>
          <w:p w:rsidR="00614C6E" w:rsidRDefault="00614C6E"/>
        </w:tc>
      </w:tr>
    </w:tbl>
    <w:p w:rsidR="00614C6E" w:rsidRDefault="00D902AA">
      <w:r>
        <w:rPr>
          <w:rFonts w:ascii="Calibri" w:eastAsia="Calibri" w:hAnsi="Calibri" w:cs="Calibri"/>
          <w:b/>
          <w:color w:val="FF0000"/>
        </w:rPr>
        <w:t xml:space="preserve">                                              </w:t>
      </w:r>
    </w:p>
    <w:p w:rsidR="00614C6E" w:rsidRDefault="00D902AA">
      <w:r>
        <w:rPr>
          <w:rFonts w:ascii="Calibri" w:eastAsia="Calibri" w:hAnsi="Calibri" w:cs="Calibri"/>
          <w:b/>
          <w:sz w:val="22"/>
          <w:szCs w:val="22"/>
        </w:rPr>
        <w:t>C.</w:t>
      </w:r>
      <w:r>
        <w:rPr>
          <w:rFonts w:ascii="Calibri" w:eastAsia="Calibri" w:hAnsi="Calibri" w:cs="Calibri"/>
          <w:sz w:val="22"/>
          <w:szCs w:val="22"/>
        </w:rPr>
        <w:t xml:space="preserve">  At least </w:t>
      </w:r>
      <w:r>
        <w:rPr>
          <w:rFonts w:ascii="Calibri" w:eastAsia="Calibri" w:hAnsi="Calibri" w:cs="Calibri"/>
          <w:b/>
          <w:sz w:val="22"/>
          <w:szCs w:val="22"/>
        </w:rPr>
        <w:t>1/3 of the course grade</w:t>
      </w:r>
      <w:r>
        <w:rPr>
          <w:rFonts w:ascii="Calibri" w:eastAsia="Calibri" w:hAnsi="Calibri" w:cs="Calibri"/>
          <w:sz w:val="22"/>
          <w:szCs w:val="22"/>
        </w:rPr>
        <w:t xml:space="preserve"> must be based on assignments and/or assessments related to the items listed above.  Assignments and assessments related to the Quantitative Literacy Ability might be combined with assignments and assessments related to other Abilities.  Explain how at least </w:t>
      </w:r>
      <w:r>
        <w:rPr>
          <w:rFonts w:ascii="Calibri" w:eastAsia="Calibri" w:hAnsi="Calibri" w:cs="Calibri"/>
          <w:b/>
          <w:sz w:val="22"/>
          <w:szCs w:val="22"/>
        </w:rPr>
        <w:t>1/3</w:t>
      </w:r>
      <w:r>
        <w:rPr>
          <w:rFonts w:ascii="Calibri" w:eastAsia="Calibri" w:hAnsi="Calibri" w:cs="Calibri"/>
          <w:sz w:val="22"/>
          <w:szCs w:val="22"/>
        </w:rPr>
        <w:t xml:space="preserve"> of your course grade is based on assessments incorporating Quantitative Literacy.</w:t>
      </w:r>
    </w:p>
    <w:p w:rsidR="00614C6E" w:rsidRDefault="00614C6E"/>
    <w:p w:rsidR="00614C6E" w:rsidRDefault="00614C6E"/>
    <w:p w:rsidR="00614C6E" w:rsidRDefault="00D902AA">
      <w:pPr>
        <w:spacing w:before="240"/>
      </w:pPr>
      <w:r>
        <w:rPr>
          <w:rFonts w:ascii="Calibri" w:eastAsia="Calibri" w:hAnsi="Calibri" w:cs="Calibri"/>
          <w:b/>
          <w:sz w:val="22"/>
          <w:szCs w:val="22"/>
        </w:rPr>
        <w:t>D.</w:t>
      </w:r>
      <w:r>
        <w:rPr>
          <w:rFonts w:ascii="Calibri" w:eastAsia="Calibri" w:hAnsi="Calibri" w:cs="Calibri"/>
          <w:sz w:val="22"/>
          <w:szCs w:val="22"/>
        </w:rPr>
        <w:t xml:space="preserve">  All General Education Abilities courses must include at least one of the Critical Thinking sub-skills of identification, analysis and evaluation in its course content and/or assignments.  Please explain how your course includes </w:t>
      </w:r>
      <w:r>
        <w:rPr>
          <w:rFonts w:ascii="Calibri" w:eastAsia="Calibri" w:hAnsi="Calibri" w:cs="Calibri"/>
          <w:sz w:val="22"/>
          <w:szCs w:val="22"/>
          <w:u w:val="single"/>
        </w:rPr>
        <w:t>one or more</w:t>
      </w:r>
      <w:r>
        <w:rPr>
          <w:rFonts w:ascii="Calibri" w:eastAsia="Calibri" w:hAnsi="Calibri" w:cs="Calibri"/>
          <w:sz w:val="22"/>
          <w:szCs w:val="22"/>
        </w:rPr>
        <w:t xml:space="preserve"> of these critical thinking sub-skills.</w:t>
      </w:r>
    </w:p>
    <w:p w:rsidR="00614C6E" w:rsidRDefault="00614C6E">
      <w:pPr>
        <w:spacing w:before="240"/>
      </w:pPr>
    </w:p>
    <w:p w:rsidR="00614C6E" w:rsidRDefault="00614C6E">
      <w:pPr>
        <w:spacing w:before="240"/>
      </w:pPr>
    </w:p>
    <w:p w:rsidR="00614C6E" w:rsidRDefault="00614C6E"/>
    <w:p w:rsidR="00614C6E" w:rsidRDefault="00D902AA">
      <w:r>
        <w:rPr>
          <w:rFonts w:ascii="Calibri" w:eastAsia="Calibri" w:hAnsi="Calibri" w:cs="Calibri"/>
          <w:b/>
          <w:sz w:val="22"/>
          <w:szCs w:val="22"/>
        </w:rPr>
        <w:t xml:space="preserve">E.  </w:t>
      </w:r>
      <w:r>
        <w:rPr>
          <w:rFonts w:ascii="Calibri" w:eastAsia="Calibri" w:hAnsi="Calibri" w:cs="Calibri"/>
          <w:sz w:val="22"/>
          <w:szCs w:val="22"/>
        </w:rPr>
        <w:t xml:space="preserve">Students may not take Q courses until they have passed or tested out </w:t>
      </w:r>
      <w:proofErr w:type="gramStart"/>
      <w:r>
        <w:rPr>
          <w:rFonts w:ascii="Calibri" w:eastAsia="Calibri" w:hAnsi="Calibri" w:cs="Calibri"/>
          <w:sz w:val="22"/>
          <w:szCs w:val="22"/>
        </w:rPr>
        <w:t>of  MTH</w:t>
      </w:r>
      <w:proofErr w:type="gramEnd"/>
      <w:r>
        <w:rPr>
          <w:rFonts w:ascii="Calibri" w:eastAsia="Calibri" w:hAnsi="Calibri" w:cs="Calibri"/>
          <w:sz w:val="22"/>
          <w:szCs w:val="22"/>
        </w:rPr>
        <w:t xml:space="preserve"> 090 or the equivalent.</w:t>
      </w:r>
    </w:p>
    <w:p w:rsidR="00614C6E" w:rsidRDefault="00D902AA">
      <w:pPr>
        <w:spacing w:before="240"/>
      </w:pPr>
      <w:r>
        <w:rPr>
          <w:rFonts w:ascii="Calibri" w:eastAsia="Calibri" w:hAnsi="Calibri" w:cs="Calibri"/>
          <w:b/>
          <w:sz w:val="22"/>
          <w:szCs w:val="22"/>
        </w:rPr>
        <w:t>F.</w:t>
      </w:r>
      <w:r>
        <w:rPr>
          <w:rFonts w:ascii="Calibri" w:eastAsia="Calibri" w:hAnsi="Calibri" w:cs="Calibri"/>
          <w:sz w:val="22"/>
          <w:szCs w:val="22"/>
        </w:rPr>
        <w:t xml:space="preserve">  Please identify </w:t>
      </w:r>
      <w:r>
        <w:rPr>
          <w:rFonts w:ascii="Calibri" w:eastAsia="Calibri" w:hAnsi="Calibri" w:cs="Calibri"/>
          <w:b/>
          <w:sz w:val="22"/>
          <w:szCs w:val="22"/>
        </w:rPr>
        <w:t xml:space="preserve">the assessment tools </w:t>
      </w:r>
      <w:r>
        <w:rPr>
          <w:rFonts w:ascii="Calibri" w:eastAsia="Calibri" w:hAnsi="Calibri" w:cs="Calibri"/>
          <w:sz w:val="22"/>
          <w:szCs w:val="22"/>
        </w:rPr>
        <w:t>used to evaluate students’ ability to meet the learning outcomes identified above (exam/assignment/essay/</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p w:rsidR="00614C6E" w:rsidRDefault="00614C6E"/>
    <w:p w:rsidR="00614C6E" w:rsidRDefault="00614C6E"/>
    <w:p w:rsidR="00614C6E" w:rsidRDefault="00D902AA">
      <w:pPr>
        <w:tabs>
          <w:tab w:val="right" w:pos="9072"/>
        </w:tabs>
      </w:pPr>
      <w:r>
        <w:rPr>
          <w:rFonts w:ascii="Calibri" w:eastAsia="Calibri" w:hAnsi="Calibri" w:cs="Calibri"/>
          <w:b/>
          <w:sz w:val="22"/>
          <w:szCs w:val="22"/>
        </w:rPr>
        <w:t>G.</w:t>
      </w:r>
      <w:r>
        <w:rPr>
          <w:rFonts w:ascii="Calibri" w:eastAsia="Calibri" w:hAnsi="Calibri" w:cs="Calibri"/>
          <w:sz w:val="22"/>
          <w:szCs w:val="22"/>
        </w:rPr>
        <w:t xml:space="preserve">  Will this course fulfill other general education requirements? If so, please list them below. </w:t>
      </w:r>
    </w:p>
    <w:p w:rsidR="00614C6E" w:rsidRDefault="00D902AA">
      <w:pPr>
        <w:tabs>
          <w:tab w:val="right" w:pos="9072"/>
        </w:tabs>
      </w:pPr>
      <w:r>
        <w:rPr>
          <w:rFonts w:ascii="Calibri" w:eastAsia="Calibri" w:hAnsi="Calibri" w:cs="Calibri"/>
          <w:sz w:val="22"/>
          <w:szCs w:val="22"/>
        </w:rPr>
        <w:lastRenderedPageBreak/>
        <w:t>(Up to three Abilities requirements (Quantitative Literacy, Reading and Writing); a single Breadth of Academic Experience category; the Global/Cultural Perspectives requirement; and/or the Personal Health &amp; Wellness requirement)</w:t>
      </w:r>
    </w:p>
    <w:p w:rsidR="00614C6E" w:rsidRDefault="00614C6E"/>
    <w:p w:rsidR="00614C6E" w:rsidRDefault="00D902AA">
      <w:r>
        <w:rPr>
          <w:rFonts w:ascii="Calibri" w:eastAsia="Calibri" w:hAnsi="Calibri" w:cs="Calibri"/>
          <w:b/>
          <w:sz w:val="22"/>
          <w:szCs w:val="22"/>
        </w:rPr>
        <w:t xml:space="preserve">H. </w:t>
      </w:r>
      <w:r>
        <w:rPr>
          <w:rFonts w:ascii="Calibri" w:eastAsia="Calibri" w:hAnsi="Calibri" w:cs="Calibri"/>
          <w:sz w:val="22"/>
          <w:szCs w:val="22"/>
        </w:rPr>
        <w:t xml:space="preserve">All instructors of Q designated courses are required to participate in the Quantitative Literacy Assessment as part of Heidelberg’s HLC Accreditation.  </w:t>
      </w:r>
    </w:p>
    <w:p w:rsidR="00614C6E" w:rsidRDefault="00614C6E"/>
    <w:p w:rsidR="00614C6E" w:rsidRDefault="00D902AA">
      <w:r>
        <w:rPr>
          <w:rFonts w:ascii="Calibri" w:eastAsia="Calibri" w:hAnsi="Calibri" w:cs="Calibri"/>
          <w:b/>
          <w:sz w:val="22"/>
          <w:szCs w:val="22"/>
        </w:rPr>
        <w:t xml:space="preserve">I. </w:t>
      </w:r>
      <w:r>
        <w:rPr>
          <w:rFonts w:ascii="Calibri" w:eastAsia="Calibri" w:hAnsi="Calibri" w:cs="Calibri"/>
          <w:sz w:val="22"/>
          <w:szCs w:val="22"/>
        </w:rPr>
        <w:t xml:space="preserve">All proposals must be submitted by the Department Chair, along with a copy of the course syllabus. </w:t>
      </w:r>
    </w:p>
    <w:p w:rsidR="00614C6E" w:rsidRDefault="00614C6E"/>
    <w:p w:rsidR="00614C6E" w:rsidRDefault="00D902AA">
      <w:r>
        <w:rPr>
          <w:rFonts w:ascii="Calibri" w:eastAsia="Calibri" w:hAnsi="Calibri" w:cs="Calibri"/>
          <w:b/>
          <w:sz w:val="22"/>
          <w:szCs w:val="22"/>
        </w:rPr>
        <w:t>How to Submit:</w:t>
      </w:r>
      <w:r>
        <w:rPr>
          <w:rFonts w:ascii="Calibri" w:eastAsia="Calibri" w:hAnsi="Calibri" w:cs="Calibri"/>
          <w:b/>
          <w:sz w:val="28"/>
          <w:szCs w:val="28"/>
        </w:rPr>
        <w:t xml:space="preserve"> </w:t>
      </w:r>
      <w:r>
        <w:rPr>
          <w:rFonts w:ascii="Calibri" w:eastAsia="Calibri" w:hAnsi="Calibri" w:cs="Calibri"/>
          <w:sz w:val="22"/>
          <w:szCs w:val="22"/>
        </w:rPr>
        <w:t>email as a .doc or .</w:t>
      </w:r>
      <w:proofErr w:type="spellStart"/>
      <w:r>
        <w:rPr>
          <w:rFonts w:ascii="Calibri" w:eastAsia="Calibri" w:hAnsi="Calibri" w:cs="Calibri"/>
          <w:sz w:val="22"/>
          <w:szCs w:val="22"/>
        </w:rPr>
        <w:t>docx</w:t>
      </w:r>
      <w:proofErr w:type="spellEnd"/>
      <w:r>
        <w:rPr>
          <w:rFonts w:ascii="Calibri" w:eastAsia="Calibri" w:hAnsi="Calibri" w:cs="Calibri"/>
          <w:sz w:val="22"/>
          <w:szCs w:val="22"/>
        </w:rPr>
        <w:t>, or share on Google Drive with ucc@heidelberg.edu</w:t>
      </w:r>
    </w:p>
    <w:p w:rsidR="00614C6E" w:rsidRDefault="00614C6E"/>
    <w:p w:rsidR="00614C6E" w:rsidRDefault="00614C6E"/>
    <w:p w:rsidR="00614C6E" w:rsidRDefault="00614C6E"/>
    <w:p w:rsidR="00614C6E" w:rsidRDefault="00D902AA">
      <w:pPr>
        <w:jc w:val="center"/>
      </w:pPr>
      <w:r>
        <w:rPr>
          <w:rFonts w:ascii="Calibri" w:eastAsia="Calibri" w:hAnsi="Calibri" w:cs="Calibri"/>
          <w:b/>
          <w:sz w:val="32"/>
          <w:szCs w:val="32"/>
        </w:rPr>
        <w:t xml:space="preserve">Appendix 1: Definition of Terms Used in Quantitative Literacy Courses </w:t>
      </w:r>
    </w:p>
    <w:p w:rsidR="00614C6E" w:rsidRDefault="00614C6E"/>
    <w:p w:rsidR="00614C6E" w:rsidRDefault="00D902AA">
      <w:r>
        <w:rPr>
          <w:rFonts w:ascii="Calibri" w:eastAsia="Calibri" w:hAnsi="Calibri" w:cs="Calibri"/>
          <w:sz w:val="22"/>
          <w:szCs w:val="22"/>
        </w:rPr>
        <w:t>Learning Outcome #1 Examples</w:t>
      </w:r>
    </w:p>
    <w:p w:rsidR="00614C6E" w:rsidRDefault="00D902AA">
      <w:pPr>
        <w:numPr>
          <w:ilvl w:val="0"/>
          <w:numId w:val="3"/>
        </w:numPr>
        <w:ind w:hanging="360"/>
        <w:rPr>
          <w:rFonts w:ascii="Calibri" w:eastAsia="Calibri" w:hAnsi="Calibri" w:cs="Calibri"/>
          <w:sz w:val="22"/>
          <w:szCs w:val="22"/>
        </w:rPr>
      </w:pPr>
      <w:r>
        <w:rPr>
          <w:rFonts w:ascii="Calibri" w:eastAsia="Calibri" w:hAnsi="Calibri" w:cs="Calibri"/>
          <w:sz w:val="22"/>
          <w:szCs w:val="22"/>
        </w:rPr>
        <w:t>The use of mathematical formulas that are important in a major.</w:t>
      </w:r>
    </w:p>
    <w:p w:rsidR="00614C6E" w:rsidRDefault="00D902AA">
      <w:pPr>
        <w:numPr>
          <w:ilvl w:val="0"/>
          <w:numId w:val="3"/>
        </w:numPr>
        <w:ind w:hanging="360"/>
        <w:rPr>
          <w:rFonts w:ascii="Calibri" w:eastAsia="Calibri" w:hAnsi="Calibri" w:cs="Calibri"/>
          <w:sz w:val="22"/>
          <w:szCs w:val="22"/>
        </w:rPr>
      </w:pPr>
      <w:r>
        <w:rPr>
          <w:rFonts w:ascii="Calibri" w:eastAsia="Calibri" w:hAnsi="Calibri" w:cs="Calibri"/>
          <w:sz w:val="22"/>
          <w:szCs w:val="22"/>
        </w:rPr>
        <w:t>The computation and display of informative descriptive statistics and the use of appropriate statistical inference methods.</w:t>
      </w:r>
    </w:p>
    <w:p w:rsidR="00614C6E" w:rsidRDefault="00D902AA">
      <w:pPr>
        <w:numPr>
          <w:ilvl w:val="0"/>
          <w:numId w:val="3"/>
        </w:numPr>
        <w:ind w:hanging="360"/>
        <w:rPr>
          <w:rFonts w:ascii="Calibri" w:eastAsia="Calibri" w:hAnsi="Calibri" w:cs="Calibri"/>
          <w:sz w:val="22"/>
          <w:szCs w:val="22"/>
        </w:rPr>
      </w:pPr>
      <w:r>
        <w:rPr>
          <w:rFonts w:ascii="Calibri" w:eastAsia="Calibri" w:hAnsi="Calibri" w:cs="Calibri"/>
          <w:sz w:val="22"/>
          <w:szCs w:val="22"/>
        </w:rPr>
        <w:t>Techniques used to recast verbal problems into mathematical forms that use formulas, equations, graphs, or geometric diagrams.</w:t>
      </w:r>
    </w:p>
    <w:p w:rsidR="00614C6E" w:rsidRDefault="00D902AA">
      <w:pPr>
        <w:numPr>
          <w:ilvl w:val="0"/>
          <w:numId w:val="3"/>
        </w:numPr>
        <w:ind w:hanging="360"/>
        <w:rPr>
          <w:rFonts w:ascii="Calibri" w:eastAsia="Calibri" w:hAnsi="Calibri" w:cs="Calibri"/>
          <w:sz w:val="22"/>
          <w:szCs w:val="22"/>
        </w:rPr>
      </w:pPr>
      <w:r>
        <w:rPr>
          <w:rFonts w:ascii="Calibri" w:eastAsia="Calibri" w:hAnsi="Calibri" w:cs="Calibri"/>
          <w:sz w:val="22"/>
          <w:szCs w:val="22"/>
        </w:rPr>
        <w:t>Meaning, applications, and computational techniques using basic pre-calculus and/or calculus concepts.</w:t>
      </w:r>
    </w:p>
    <w:p w:rsidR="00614C6E" w:rsidRDefault="00614C6E"/>
    <w:p w:rsidR="00614C6E" w:rsidRDefault="00D902AA">
      <w:r>
        <w:rPr>
          <w:rFonts w:ascii="Calibri" w:eastAsia="Calibri" w:hAnsi="Calibri" w:cs="Calibri"/>
          <w:sz w:val="22"/>
          <w:szCs w:val="22"/>
        </w:rPr>
        <w:t>Learning Outcome #2 Examples</w:t>
      </w:r>
    </w:p>
    <w:p w:rsidR="00614C6E" w:rsidRDefault="00D902AA">
      <w:pPr>
        <w:numPr>
          <w:ilvl w:val="0"/>
          <w:numId w:val="4"/>
        </w:numPr>
        <w:ind w:hanging="360"/>
        <w:rPr>
          <w:rFonts w:ascii="Calibri" w:eastAsia="Calibri" w:hAnsi="Calibri" w:cs="Calibri"/>
          <w:sz w:val="22"/>
          <w:szCs w:val="22"/>
        </w:rPr>
      </w:pPr>
      <w:r>
        <w:rPr>
          <w:rFonts w:ascii="Calibri" w:eastAsia="Calibri" w:hAnsi="Calibri" w:cs="Calibri"/>
          <w:sz w:val="22"/>
          <w:szCs w:val="22"/>
        </w:rPr>
        <w:t>Interpreting graphs and charts.</w:t>
      </w:r>
    </w:p>
    <w:p w:rsidR="00614C6E" w:rsidRDefault="00D902AA">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Concepts such as </w:t>
      </w:r>
      <w:proofErr w:type="spellStart"/>
      <w:r>
        <w:rPr>
          <w:rFonts w:ascii="Calibri" w:eastAsia="Calibri" w:hAnsi="Calibri" w:cs="Calibri"/>
          <w:sz w:val="22"/>
          <w:szCs w:val="22"/>
        </w:rPr>
        <w:t>percents</w:t>
      </w:r>
      <w:proofErr w:type="spellEnd"/>
      <w:r>
        <w:rPr>
          <w:rFonts w:ascii="Calibri" w:eastAsia="Calibri" w:hAnsi="Calibri" w:cs="Calibri"/>
          <w:sz w:val="22"/>
          <w:szCs w:val="22"/>
        </w:rPr>
        <w:t xml:space="preserve"> and probability and common abuses of such ideas.</w:t>
      </w:r>
    </w:p>
    <w:p w:rsidR="00614C6E" w:rsidRDefault="00D902AA">
      <w:pPr>
        <w:numPr>
          <w:ilvl w:val="0"/>
          <w:numId w:val="1"/>
        </w:numPr>
        <w:ind w:hanging="360"/>
        <w:rPr>
          <w:rFonts w:ascii="Calibri" w:eastAsia="Calibri" w:hAnsi="Calibri" w:cs="Calibri"/>
          <w:sz w:val="22"/>
          <w:szCs w:val="22"/>
        </w:rPr>
      </w:pPr>
      <w:r>
        <w:rPr>
          <w:rFonts w:ascii="Calibri" w:eastAsia="Calibri" w:hAnsi="Calibri" w:cs="Calibri"/>
          <w:sz w:val="22"/>
          <w:szCs w:val="22"/>
        </w:rPr>
        <w:t>Critical thinking skills for reading and assessing arguments that use data and mathematical analysis as components.</w:t>
      </w:r>
    </w:p>
    <w:p w:rsidR="00614C6E" w:rsidRDefault="00D902AA">
      <w:pPr>
        <w:numPr>
          <w:ilvl w:val="0"/>
          <w:numId w:val="1"/>
        </w:numPr>
        <w:ind w:hanging="360"/>
        <w:rPr>
          <w:rFonts w:ascii="Calibri" w:eastAsia="Calibri" w:hAnsi="Calibri" w:cs="Calibri"/>
          <w:sz w:val="22"/>
          <w:szCs w:val="22"/>
        </w:rPr>
      </w:pPr>
      <w:r>
        <w:rPr>
          <w:rFonts w:ascii="Calibri" w:eastAsia="Calibri" w:hAnsi="Calibri" w:cs="Calibri"/>
          <w:sz w:val="22"/>
          <w:szCs w:val="22"/>
        </w:rPr>
        <w:t>Mastery of basic mathematical skills that will enable students to learn more mathematics as necessary in the pursuit of their vocations.</w:t>
      </w: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p w:rsidR="00614C6E" w:rsidRDefault="00614C6E">
      <w:pPr>
        <w:tabs>
          <w:tab w:val="left" w:pos="4358"/>
        </w:tabs>
      </w:pPr>
    </w:p>
    <w:sectPr w:rsidR="00614C6E">
      <w:headerReference w:type="default" r:id="rId7"/>
      <w:footerReference w:type="default" r:id="rId8"/>
      <w:pgSz w:w="12240" w:h="15840"/>
      <w:pgMar w:top="63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FA" w:rsidRDefault="005C31FA">
      <w:r>
        <w:separator/>
      </w:r>
    </w:p>
  </w:endnote>
  <w:endnote w:type="continuationSeparator" w:id="0">
    <w:p w:rsidR="005C31FA" w:rsidRDefault="005C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6E" w:rsidRDefault="00D902AA">
    <w:pPr>
      <w:tabs>
        <w:tab w:val="center" w:pos="4320"/>
        <w:tab w:val="right" w:pos="8640"/>
      </w:tabs>
      <w:spacing w:after="720"/>
      <w:jc w:val="right"/>
    </w:pPr>
    <w:r>
      <w:rPr>
        <w:rFonts w:ascii="Calibri" w:eastAsia="Calibri" w:hAnsi="Calibri" w:cs="Calibri"/>
        <w:sz w:val="16"/>
        <w:szCs w:val="16"/>
      </w:rPr>
      <w:t xml:space="preserve">Quantitative Literacy Ability Course </w:t>
    </w:r>
    <w:proofErr w:type="gramStart"/>
    <w:r>
      <w:rPr>
        <w:rFonts w:ascii="Calibri" w:eastAsia="Calibri" w:hAnsi="Calibri" w:cs="Calibri"/>
        <w:sz w:val="16"/>
        <w:szCs w:val="16"/>
      </w:rPr>
      <w:t>Proposal  Form</w:t>
    </w:r>
    <w:proofErr w:type="gramEnd"/>
    <w:r>
      <w:rPr>
        <w:rFonts w:ascii="Calibri" w:eastAsia="Calibri" w:hAnsi="Calibri" w:cs="Calibri"/>
        <w:sz w:val="16"/>
        <w:szCs w:val="16"/>
      </w:rPr>
      <w:t xml:space="preserve"> (updated Feb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FA" w:rsidRDefault="005C31FA">
      <w:r>
        <w:separator/>
      </w:r>
    </w:p>
  </w:footnote>
  <w:footnote w:type="continuationSeparator" w:id="0">
    <w:p w:rsidR="005C31FA" w:rsidRDefault="005C3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6E" w:rsidRDefault="00614C6E">
    <w:pPr>
      <w:tabs>
        <w:tab w:val="center" w:pos="4320"/>
        <w:tab w:val="right" w:pos="8640"/>
      </w:tabs>
      <w:spacing w:before="72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A14"/>
    <w:multiLevelType w:val="multilevel"/>
    <w:tmpl w:val="983A5E8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21B96AA2"/>
    <w:multiLevelType w:val="multilevel"/>
    <w:tmpl w:val="481239D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2AF00490"/>
    <w:multiLevelType w:val="multilevel"/>
    <w:tmpl w:val="89642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E0038F7"/>
    <w:multiLevelType w:val="multilevel"/>
    <w:tmpl w:val="4C84B1B8"/>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6E"/>
    <w:rsid w:val="005C31FA"/>
    <w:rsid w:val="00600700"/>
    <w:rsid w:val="00614C6E"/>
    <w:rsid w:val="00C63C63"/>
    <w:rsid w:val="00D9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5146B-F674-4B57-B579-8CDC8204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Hiser</dc:creator>
  <cp:lastModifiedBy>Rachel E Hiser</cp:lastModifiedBy>
  <cp:revision>2</cp:revision>
  <dcterms:created xsi:type="dcterms:W3CDTF">2019-01-29T20:31:00Z</dcterms:created>
  <dcterms:modified xsi:type="dcterms:W3CDTF">2019-01-29T20:31:00Z</dcterms:modified>
</cp:coreProperties>
</file>